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BB575">
      <w:pPr>
        <w:spacing w:line="400" w:lineRule="exact"/>
        <w:ind w:firstLine="964" w:firstLineChars="3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PS拍-2025-52号地块</w:t>
      </w:r>
      <w:r>
        <w:rPr>
          <w:rFonts w:ascii="方正大黑简体" w:hAnsi="方正大黑简体"/>
          <w:b/>
          <w:bCs/>
          <w:color w:val="FF0000"/>
          <w:sz w:val="32"/>
          <w:szCs w:val="32"/>
        </w:rPr>
        <w:t>国有建设用地使用权公告</w:t>
      </w:r>
    </w:p>
    <w:p w14:paraId="06F016C5">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厦门国际商品拍卖有限公司</w:t>
      </w:r>
      <w:r>
        <w:rPr>
          <w:rFonts w:hint="eastAsia" w:ascii="宋体" w:hAnsi="宋体"/>
          <w:color w:val="auto"/>
          <w:sz w:val="28"/>
          <w:szCs w:val="28"/>
        </w:rPr>
        <w:t>于</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年1月</w:t>
      </w:r>
      <w:r>
        <w:rPr>
          <w:rFonts w:hint="eastAsia" w:ascii="宋体" w:hAnsi="宋体"/>
          <w:color w:val="auto"/>
          <w:sz w:val="28"/>
          <w:szCs w:val="28"/>
          <w:lang w:val="en-US" w:eastAsia="zh-CN"/>
        </w:rPr>
        <w:t>28</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9</w:t>
      </w:r>
      <w:r>
        <w:rPr>
          <w:rFonts w:hint="eastAsia" w:ascii="宋体" w:hAnsi="宋体"/>
          <w:color w:val="auto"/>
          <w:sz w:val="28"/>
          <w:szCs w:val="28"/>
        </w:rPr>
        <w:t>时</w:t>
      </w:r>
      <w:r>
        <w:rPr>
          <w:rFonts w:hint="eastAsia" w:ascii="宋体" w:hAnsi="宋体"/>
          <w:color w:val="auto"/>
          <w:sz w:val="28"/>
          <w:szCs w:val="28"/>
          <w:lang w:val="en-US" w:eastAsia="zh-CN"/>
        </w:rPr>
        <w:t>30分</w:t>
      </w:r>
      <w:r>
        <w:rPr>
          <w:rFonts w:hint="eastAsia" w:ascii="宋体" w:hAnsi="宋体"/>
          <w:color w:val="auto"/>
          <w:sz w:val="28"/>
          <w:szCs w:val="28"/>
        </w:rPr>
        <w:t>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PS拍-2025-52号地块</w:t>
      </w:r>
      <w:r>
        <w:rPr>
          <w:rFonts w:hint="eastAsia" w:ascii="宋体" w:hAnsi="宋体"/>
          <w:color w:val="000000"/>
          <w:sz w:val="28"/>
          <w:szCs w:val="28"/>
        </w:rPr>
        <w:t xml:space="preserve">的国有建设用地使用权。现将有关事项公告如下： </w:t>
      </w:r>
    </w:p>
    <w:p w14:paraId="2A04745D">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41"/>
        <w:gridCol w:w="2244"/>
        <w:gridCol w:w="2064"/>
        <w:gridCol w:w="1272"/>
        <w:gridCol w:w="1908"/>
        <w:gridCol w:w="672"/>
        <w:gridCol w:w="973"/>
      </w:tblGrid>
      <w:tr w14:paraId="63478E6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741" w:type="dxa"/>
            <w:tcBorders>
              <w:top w:val="single" w:color="auto" w:sz="8" w:space="0"/>
              <w:left w:val="single" w:color="auto" w:sz="8" w:space="0"/>
              <w:bottom w:val="single" w:color="auto" w:sz="8" w:space="0"/>
              <w:right w:val="single" w:color="auto" w:sz="8" w:space="0"/>
            </w:tcBorders>
            <w:vAlign w:val="center"/>
          </w:tcPr>
          <w:p w14:paraId="1799B3D3">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2244" w:type="dxa"/>
            <w:tcBorders>
              <w:top w:val="single" w:color="auto" w:sz="8" w:space="0"/>
              <w:left w:val="single" w:color="auto" w:sz="8" w:space="0"/>
              <w:bottom w:val="single" w:color="auto" w:sz="8" w:space="0"/>
              <w:right w:val="single" w:color="auto" w:sz="8" w:space="0"/>
            </w:tcBorders>
            <w:vAlign w:val="center"/>
          </w:tcPr>
          <w:p w14:paraId="6E4CF44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2064" w:type="dxa"/>
            <w:tcBorders>
              <w:top w:val="single" w:color="auto" w:sz="8" w:space="0"/>
              <w:left w:val="single" w:color="auto" w:sz="8" w:space="0"/>
              <w:bottom w:val="single" w:color="auto" w:sz="8" w:space="0"/>
              <w:right w:val="single" w:color="auto" w:sz="8" w:space="0"/>
            </w:tcBorders>
            <w:vAlign w:val="center"/>
          </w:tcPr>
          <w:p w14:paraId="21D0441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272" w:type="dxa"/>
            <w:tcBorders>
              <w:top w:val="single" w:color="auto" w:sz="8" w:space="0"/>
              <w:left w:val="single" w:color="auto" w:sz="8" w:space="0"/>
              <w:bottom w:val="single" w:color="auto" w:sz="8" w:space="0"/>
              <w:right w:val="single" w:color="auto" w:sz="8" w:space="0"/>
            </w:tcBorders>
            <w:vAlign w:val="center"/>
          </w:tcPr>
          <w:p w14:paraId="3178EF1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1168D56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908" w:type="dxa"/>
            <w:tcBorders>
              <w:top w:val="single" w:color="auto" w:sz="8" w:space="0"/>
              <w:left w:val="single" w:color="auto" w:sz="8" w:space="0"/>
              <w:bottom w:val="single" w:color="auto" w:sz="8" w:space="0"/>
              <w:right w:val="single" w:color="auto" w:sz="8" w:space="0"/>
            </w:tcBorders>
            <w:vAlign w:val="center"/>
          </w:tcPr>
          <w:p w14:paraId="22F88E2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672" w:type="dxa"/>
            <w:tcBorders>
              <w:top w:val="single" w:color="auto" w:sz="8" w:space="0"/>
              <w:left w:val="single" w:color="auto" w:sz="8" w:space="0"/>
              <w:bottom w:val="single" w:color="auto" w:sz="8" w:space="0"/>
              <w:right w:val="single" w:color="auto" w:sz="8" w:space="0"/>
            </w:tcBorders>
            <w:vAlign w:val="center"/>
          </w:tcPr>
          <w:p w14:paraId="64D41D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973" w:type="dxa"/>
            <w:tcBorders>
              <w:top w:val="single" w:color="auto" w:sz="8" w:space="0"/>
              <w:left w:val="single" w:color="auto" w:sz="8" w:space="0"/>
              <w:bottom w:val="single" w:color="auto" w:sz="8" w:space="0"/>
              <w:right w:val="single" w:color="auto" w:sz="8" w:space="0"/>
            </w:tcBorders>
            <w:vAlign w:val="center"/>
          </w:tcPr>
          <w:p w14:paraId="6507E99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579EDFF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741" w:type="dxa"/>
            <w:tcBorders>
              <w:top w:val="single" w:color="auto" w:sz="8" w:space="0"/>
              <w:left w:val="single" w:color="auto" w:sz="8" w:space="0"/>
              <w:bottom w:val="single" w:color="auto" w:sz="8" w:space="0"/>
              <w:right w:val="single" w:color="auto" w:sz="8" w:space="0"/>
            </w:tcBorders>
            <w:vAlign w:val="center"/>
          </w:tcPr>
          <w:p w14:paraId="7D5F7ADB">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PS拍-2025-52号(荔城区珠宝城西侧地块二)</w:t>
            </w:r>
          </w:p>
        </w:tc>
        <w:tc>
          <w:tcPr>
            <w:tcW w:w="2244" w:type="dxa"/>
            <w:tcBorders>
              <w:top w:val="single" w:color="auto" w:sz="8" w:space="0"/>
              <w:left w:val="single" w:color="auto" w:sz="8" w:space="0"/>
              <w:bottom w:val="single" w:color="auto" w:sz="8" w:space="0"/>
              <w:right w:val="single" w:color="auto" w:sz="8" w:space="0"/>
            </w:tcBorders>
            <w:vAlign w:val="center"/>
          </w:tcPr>
          <w:p w14:paraId="4F574B3F">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莆田市荔城区鞋材加工区基本单元(350304-19-A/B)A-26、A-27、A-28地块详细规划范围内</w:t>
            </w:r>
          </w:p>
        </w:tc>
        <w:tc>
          <w:tcPr>
            <w:tcW w:w="2064" w:type="dxa"/>
            <w:tcBorders>
              <w:top w:val="single" w:color="auto" w:sz="8" w:space="0"/>
              <w:left w:val="single" w:color="auto" w:sz="8" w:space="0"/>
              <w:bottom w:val="single" w:color="auto" w:sz="8" w:space="0"/>
              <w:right w:val="single" w:color="auto" w:sz="8" w:space="0"/>
            </w:tcBorders>
            <w:vAlign w:val="center"/>
          </w:tcPr>
          <w:p w14:paraId="1FFC4B5F">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居住用地-城镇住宅用地(二类城镇住宅)、商业服务业用地-商业用地(零售商业用地)</w:t>
            </w:r>
          </w:p>
        </w:tc>
        <w:tc>
          <w:tcPr>
            <w:tcW w:w="1272" w:type="dxa"/>
            <w:tcBorders>
              <w:top w:val="single" w:color="auto" w:sz="8" w:space="0"/>
              <w:left w:val="single" w:color="auto" w:sz="8" w:space="0"/>
              <w:bottom w:val="single" w:color="auto" w:sz="8" w:space="0"/>
              <w:right w:val="single" w:color="auto" w:sz="8" w:space="0"/>
            </w:tcBorders>
            <w:vAlign w:val="center"/>
          </w:tcPr>
          <w:p w14:paraId="3991EB7F">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18626.91</w:t>
            </w:r>
          </w:p>
        </w:tc>
        <w:tc>
          <w:tcPr>
            <w:tcW w:w="1908" w:type="dxa"/>
            <w:tcBorders>
              <w:top w:val="single" w:color="auto" w:sz="8" w:space="0"/>
              <w:left w:val="single" w:color="auto" w:sz="8" w:space="0"/>
              <w:bottom w:val="single" w:color="auto" w:sz="8" w:space="0"/>
              <w:right w:val="single" w:color="auto" w:sz="8" w:space="0"/>
            </w:tcBorders>
            <w:vAlign w:val="center"/>
          </w:tcPr>
          <w:p w14:paraId="4C5AD231">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居住用地-城镇住宅用地(二类城镇住宅)70年、商业服务业用地-商业用地(零售商业用地) 40年</w:t>
            </w:r>
          </w:p>
        </w:tc>
        <w:tc>
          <w:tcPr>
            <w:tcW w:w="672" w:type="dxa"/>
            <w:tcBorders>
              <w:top w:val="single" w:color="auto" w:sz="8" w:space="0"/>
              <w:left w:val="single" w:color="auto" w:sz="8" w:space="0"/>
              <w:bottom w:val="single" w:color="auto" w:sz="8" w:space="0"/>
              <w:right w:val="single" w:color="auto" w:sz="8" w:space="0"/>
            </w:tcBorders>
            <w:vAlign w:val="center"/>
          </w:tcPr>
          <w:p w14:paraId="7E03D7AD">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拍卖</w:t>
            </w:r>
          </w:p>
        </w:tc>
        <w:tc>
          <w:tcPr>
            <w:tcW w:w="973" w:type="dxa"/>
            <w:tcBorders>
              <w:top w:val="single" w:color="auto" w:sz="8" w:space="0"/>
              <w:left w:val="single" w:color="auto" w:sz="8" w:space="0"/>
              <w:bottom w:val="single" w:color="auto" w:sz="8" w:space="0"/>
              <w:right w:val="single" w:color="auto" w:sz="8" w:space="0"/>
            </w:tcBorders>
            <w:vAlign w:val="center"/>
          </w:tcPr>
          <w:p w14:paraId="5AFC9C8F">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680</w:t>
            </w:r>
          </w:p>
        </w:tc>
      </w:tr>
    </w:tbl>
    <w:p w14:paraId="2CACE215">
      <w:pPr>
        <w:spacing w:line="400" w:lineRule="exact"/>
        <w:ind w:firstLine="560" w:firstLineChars="200"/>
        <w:rPr>
          <w:color w:val="0C0C0C"/>
          <w:sz w:val="28"/>
          <w:szCs w:val="28"/>
        </w:rPr>
      </w:pPr>
      <w:r>
        <w:rPr>
          <w:rFonts w:hint="eastAsia"/>
          <w:color w:val="0C0C0C"/>
          <w:sz w:val="28"/>
          <w:szCs w:val="28"/>
        </w:rPr>
        <w:t>该宗地出让规划条件以莆田市自然资源局</w:t>
      </w:r>
      <w:r>
        <w:rPr>
          <w:rFonts w:hint="eastAsia"/>
          <w:color w:val="0C0C0C"/>
          <w:sz w:val="28"/>
          <w:szCs w:val="28"/>
          <w:lang w:eastAsia="zh-CN"/>
        </w:rPr>
        <w:t>莆自然资审〔2025〕</w:t>
      </w:r>
      <w:r>
        <w:rPr>
          <w:rFonts w:hint="eastAsia"/>
          <w:color w:val="0C0C0C"/>
          <w:sz w:val="28"/>
          <w:szCs w:val="28"/>
          <w:lang w:val="en-US" w:eastAsia="zh-CN"/>
        </w:rPr>
        <w:t>94</w:t>
      </w:r>
      <w:r>
        <w:rPr>
          <w:rFonts w:hint="eastAsia"/>
          <w:color w:val="0C0C0C"/>
          <w:sz w:val="28"/>
          <w:szCs w:val="28"/>
          <w:lang w:eastAsia="zh-CN"/>
        </w:rPr>
        <w:t>号</w:t>
      </w:r>
      <w:r>
        <w:rPr>
          <w:rFonts w:hint="eastAsia"/>
          <w:color w:val="auto"/>
          <w:sz w:val="28"/>
          <w:szCs w:val="28"/>
        </w:rPr>
        <w:t>文</w:t>
      </w:r>
      <w:r>
        <w:rPr>
          <w:rFonts w:hint="eastAsia"/>
          <w:sz w:val="28"/>
          <w:szCs w:val="28"/>
        </w:rPr>
        <w:t>件为准</w:t>
      </w:r>
      <w:r>
        <w:rPr>
          <w:rFonts w:hint="eastAsia"/>
          <w:color w:val="0C0C0C"/>
          <w:sz w:val="28"/>
          <w:szCs w:val="28"/>
        </w:rPr>
        <w:t>。</w:t>
      </w:r>
      <w:r>
        <w:rPr>
          <w:rFonts w:hint="eastAsia" w:ascii="宋体" w:hAnsi="宋体"/>
          <w:color w:val="000000"/>
          <w:sz w:val="28"/>
          <w:szCs w:val="28"/>
        </w:rPr>
        <w:t>(详细资料见地块出让文件)。</w:t>
      </w:r>
    </w:p>
    <w:p w14:paraId="0E19726F">
      <w:pPr>
        <w:spacing w:line="400" w:lineRule="exact"/>
        <w:ind w:firstLine="560" w:firstLineChars="200"/>
        <w:rPr>
          <w:color w:val="0C0C0C"/>
          <w:sz w:val="28"/>
          <w:szCs w:val="28"/>
        </w:rPr>
      </w:pPr>
      <w:r>
        <w:rPr>
          <w:rFonts w:hint="eastAsia"/>
          <w:color w:val="0C0C0C"/>
          <w:sz w:val="28"/>
          <w:szCs w:val="28"/>
        </w:rPr>
        <w:t>二、竞买资格要求及确认</w:t>
      </w:r>
    </w:p>
    <w:p w14:paraId="40FFE7F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中华人民共和国境内外具有房地产开发资质的企业，除法律、法规和省政府的闽〔2017〕43号文件另有规定外，均可申请参加本次国有建设用地使用权拍卖活动。</w:t>
      </w:r>
    </w:p>
    <w:p w14:paraId="4FBF6A5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2"/>
          <w:sz w:val="28"/>
          <w:szCs w:val="28"/>
          <w:shd w:val="clear" w:fill="FFFFFF"/>
          <w:lang w:val="en-US" w:eastAsia="zh-CN" w:bidi="ar"/>
          <w14:textFill>
            <w14:solidFill>
              <w14:schemeClr w14:val="tx1"/>
            </w14:solidFill>
          </w14:textFill>
        </w:rPr>
        <w:t>竞买人必须签署本地块《参与竞买国有建设用地使用权确认书》、《承诺书》、《国有建设用地使用权竞买保证书》，否则拍卖公司不予确认竞买资格，竞买人不得参加地块竞买。</w:t>
      </w:r>
    </w:p>
    <w:p w14:paraId="37E4E72A">
      <w:pPr>
        <w:spacing w:line="400" w:lineRule="exact"/>
        <w:ind w:firstLine="560" w:firstLineChars="200"/>
        <w:rPr>
          <w:color w:val="0C0C0C"/>
          <w:sz w:val="28"/>
          <w:szCs w:val="28"/>
        </w:rPr>
      </w:pPr>
      <w:r>
        <w:rPr>
          <w:rFonts w:hint="eastAsia"/>
          <w:color w:val="0C0C0C"/>
          <w:sz w:val="28"/>
          <w:szCs w:val="28"/>
        </w:rPr>
        <w:t>三、 确定竞得人方式</w:t>
      </w:r>
    </w:p>
    <w:p w14:paraId="358AC441">
      <w:pPr>
        <w:spacing w:line="400" w:lineRule="exact"/>
        <w:ind w:firstLine="560" w:firstLineChars="200"/>
        <w:rPr>
          <w:rFonts w:hint="eastAsia"/>
          <w:color w:val="auto"/>
          <w:sz w:val="28"/>
          <w:szCs w:val="28"/>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ascii="宋体" w:hAnsi="宋体" w:cs="宋体"/>
          <w:bCs/>
          <w:sz w:val="28"/>
          <w:szCs w:val="28"/>
          <w:lang w:val="en-US" w:eastAsia="zh-CN"/>
        </w:rPr>
        <w:t>方式</w:t>
      </w:r>
      <w:r>
        <w:rPr>
          <w:rFonts w:hint="eastAsia" w:ascii="宋体" w:hAnsi="宋体" w:cs="宋体"/>
          <w:bCs/>
          <w:sz w:val="28"/>
          <w:szCs w:val="28"/>
        </w:rPr>
        <w:t>公开拍卖出让</w:t>
      </w:r>
      <w:r>
        <w:rPr>
          <w:rFonts w:hint="eastAsia"/>
          <w:color w:val="auto"/>
          <w:sz w:val="28"/>
          <w:szCs w:val="28"/>
        </w:rPr>
        <w:t>，</w:t>
      </w:r>
      <w:r>
        <w:rPr>
          <w:rFonts w:hint="eastAsia" w:ascii="Times New Roman" w:hAnsi="Times New Roman" w:eastAsia="宋体" w:cs="Times New Roman"/>
          <w:color w:val="auto"/>
          <w:sz w:val="28"/>
          <w:szCs w:val="28"/>
        </w:rPr>
        <w:t>拍卖起始价</w:t>
      </w:r>
      <w:r>
        <w:rPr>
          <w:rFonts w:hint="eastAsia" w:cs="Times New Roman"/>
          <w:color w:val="auto"/>
          <w:sz w:val="28"/>
          <w:szCs w:val="28"/>
          <w:lang w:val="en-US" w:eastAsia="zh-CN"/>
        </w:rPr>
        <w:t>3400万</w:t>
      </w:r>
      <w:r>
        <w:rPr>
          <w:rFonts w:hint="eastAsia" w:ascii="Times New Roman" w:hAnsi="Times New Roman" w:eastAsia="宋体" w:cs="Times New Roman"/>
          <w:color w:val="auto"/>
          <w:sz w:val="28"/>
          <w:szCs w:val="28"/>
        </w:rPr>
        <w:t>元，加价幅度</w:t>
      </w:r>
      <w:r>
        <w:rPr>
          <w:rFonts w:hint="eastAsia" w:cs="Times New Roman"/>
          <w:color w:val="auto"/>
          <w:sz w:val="28"/>
          <w:szCs w:val="28"/>
          <w:lang w:val="en-US" w:eastAsia="zh-CN"/>
        </w:rPr>
        <w:t>50万</w:t>
      </w:r>
      <w:r>
        <w:rPr>
          <w:rFonts w:hint="eastAsia" w:ascii="Times New Roman" w:hAnsi="Times New Roman" w:eastAsia="宋体" w:cs="Times New Roman"/>
          <w:color w:val="auto"/>
          <w:sz w:val="28"/>
          <w:szCs w:val="28"/>
        </w:rPr>
        <w:t>元</w:t>
      </w:r>
      <w:r>
        <w:rPr>
          <w:rFonts w:hint="eastAsia" w:ascii="Times New Roman" w:hAnsi="Times New Roman" w:eastAsia="宋体" w:cs="Times New Roman"/>
          <w:color w:val="auto"/>
          <w:sz w:val="28"/>
          <w:szCs w:val="28"/>
          <w:lang w:eastAsia="zh-CN"/>
        </w:rPr>
        <w:t>，</w:t>
      </w:r>
      <w:r>
        <w:rPr>
          <w:rFonts w:hint="eastAsia"/>
          <w:color w:val="auto"/>
          <w:sz w:val="28"/>
          <w:szCs w:val="28"/>
        </w:rPr>
        <w:t>按价高者得原则确定竞得人。</w:t>
      </w:r>
    </w:p>
    <w:p w14:paraId="7DBB9311">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6DA90572">
      <w:pPr>
        <w:spacing w:line="400" w:lineRule="exact"/>
        <w:ind w:firstLine="557" w:firstLineChars="199"/>
        <w:rPr>
          <w:sz w:val="28"/>
          <w:szCs w:val="28"/>
        </w:rPr>
      </w:pPr>
      <w:r>
        <w:rPr>
          <w:rFonts w:hint="eastAsia"/>
          <w:sz w:val="28"/>
          <w:szCs w:val="28"/>
        </w:rPr>
        <w:t>参</w:t>
      </w:r>
      <w:r>
        <w:rPr>
          <w:rFonts w:hint="eastAsia" w:ascii="宋体" w:hAnsi="宋体" w:eastAsia="宋体" w:cs="宋体"/>
          <w:sz w:val="28"/>
          <w:szCs w:val="28"/>
        </w:rPr>
        <w:t>加本次竞买保证金：</w:t>
      </w:r>
      <w:r>
        <w:rPr>
          <w:rFonts w:hint="eastAsia" w:ascii="宋体" w:hAnsi="宋体" w:cs="宋体"/>
          <w:sz w:val="28"/>
          <w:szCs w:val="28"/>
          <w:lang w:eastAsia="zh-CN"/>
        </w:rPr>
        <w:t>PS拍-2025-52号地块</w:t>
      </w:r>
      <w:r>
        <w:rPr>
          <w:rFonts w:hint="eastAsia" w:ascii="宋体" w:hAnsi="宋体" w:eastAsia="宋体" w:cs="宋体"/>
          <w:sz w:val="28"/>
          <w:szCs w:val="28"/>
        </w:rPr>
        <w:t>为人民币</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 120000000 \* CHINESENUM2 \* MERGEFORMAT </w:instrText>
      </w:r>
      <w:r>
        <w:rPr>
          <w:rFonts w:hint="eastAsia" w:ascii="宋体" w:hAnsi="宋体" w:eastAsia="宋体" w:cs="宋体"/>
          <w:sz w:val="28"/>
          <w:szCs w:val="28"/>
        </w:rPr>
        <w:fldChar w:fldCharType="separate"/>
      </w:r>
      <w:r>
        <w:rPr>
          <w:rFonts w:hint="eastAsia" w:ascii="宋体" w:hAnsi="宋体" w:cs="宋体"/>
          <w:sz w:val="28"/>
          <w:szCs w:val="28"/>
          <w:lang w:val="en-US" w:eastAsia="zh-CN"/>
        </w:rPr>
        <w:t>陆佰捌拾万</w:t>
      </w:r>
      <w:r>
        <w:rPr>
          <w:rFonts w:hint="eastAsia" w:ascii="宋体" w:hAnsi="宋体" w:eastAsia="宋体" w:cs="宋体"/>
          <w:sz w:val="28"/>
          <w:szCs w:val="28"/>
        </w:rPr>
        <w:fldChar w:fldCharType="end"/>
      </w:r>
      <w:r>
        <w:rPr>
          <w:rFonts w:hint="eastAsia" w:ascii="宋体" w:hAnsi="宋体" w:eastAsia="宋体" w:cs="宋体"/>
          <w:sz w:val="28"/>
          <w:szCs w:val="28"/>
        </w:rPr>
        <w:t>元整（¥</w:t>
      </w:r>
      <w:r>
        <w:rPr>
          <w:rFonts w:hint="eastAsia" w:ascii="宋体" w:hAnsi="宋体" w:cs="宋体"/>
          <w:sz w:val="28"/>
          <w:szCs w:val="28"/>
          <w:lang w:val="en-US" w:eastAsia="zh-CN"/>
        </w:rPr>
        <w:t>68</w:t>
      </w:r>
      <w:r>
        <w:rPr>
          <w:rFonts w:hint="eastAsia" w:ascii="宋体" w:hAnsi="宋体" w:eastAsia="宋体" w:cs="宋体"/>
          <w:sz w:val="28"/>
          <w:szCs w:val="28"/>
          <w:lang w:val="en-US" w:eastAsia="zh-CN"/>
        </w:rPr>
        <w:t>0万</w:t>
      </w:r>
      <w:r>
        <w:rPr>
          <w:rFonts w:hint="eastAsia" w:ascii="宋体" w:hAnsi="宋体" w:eastAsia="宋体" w:cs="宋体"/>
          <w:sz w:val="28"/>
          <w:szCs w:val="28"/>
        </w:rPr>
        <w:t>元）。竞买保证金须在</w:t>
      </w:r>
      <w:r>
        <w:rPr>
          <w:rFonts w:hint="eastAsia" w:ascii="宋体" w:hAnsi="宋体" w:cs="宋体"/>
          <w:sz w:val="28"/>
          <w:szCs w:val="28"/>
          <w:lang w:eastAsia="zh-CN"/>
        </w:rPr>
        <w:t>202</w:t>
      </w:r>
      <w:r>
        <w:rPr>
          <w:rFonts w:hint="eastAsia" w:ascii="宋体" w:hAnsi="宋体" w:cs="宋体"/>
          <w:sz w:val="28"/>
          <w:szCs w:val="28"/>
          <w:lang w:val="en-US" w:eastAsia="zh-CN"/>
        </w:rPr>
        <w:t>6</w:t>
      </w:r>
      <w:r>
        <w:rPr>
          <w:rFonts w:hint="eastAsia" w:ascii="宋体" w:hAnsi="宋体" w:cs="宋体"/>
          <w:sz w:val="28"/>
          <w:szCs w:val="28"/>
          <w:lang w:eastAsia="zh-CN"/>
        </w:rPr>
        <w:t>年</w:t>
      </w:r>
      <w:r>
        <w:rPr>
          <w:rFonts w:hint="eastAsia" w:ascii="宋体" w:hAnsi="宋体" w:cs="宋体"/>
          <w:sz w:val="28"/>
          <w:szCs w:val="28"/>
          <w:lang w:val="en-US" w:eastAsia="zh-CN"/>
        </w:rPr>
        <w:t>1</w:t>
      </w:r>
      <w:r>
        <w:rPr>
          <w:rFonts w:hint="eastAsia" w:ascii="宋体" w:hAnsi="宋体" w:cs="宋体"/>
          <w:sz w:val="28"/>
          <w:szCs w:val="28"/>
          <w:lang w:eastAsia="zh-CN"/>
        </w:rPr>
        <w:t>月</w:t>
      </w:r>
      <w:r>
        <w:rPr>
          <w:rFonts w:hint="eastAsia" w:ascii="宋体" w:hAnsi="宋体" w:cs="宋体"/>
          <w:sz w:val="28"/>
          <w:szCs w:val="28"/>
          <w:lang w:val="en-US" w:eastAsia="zh-CN"/>
        </w:rPr>
        <w:t>27</w:t>
      </w:r>
      <w:r>
        <w:rPr>
          <w:rFonts w:hint="eastAsia" w:ascii="宋体" w:hAnsi="宋体" w:cs="宋体"/>
          <w:sz w:val="28"/>
          <w:szCs w:val="28"/>
          <w:lang w:eastAsia="zh-CN"/>
        </w:rPr>
        <w:t>日</w:t>
      </w:r>
      <w:r>
        <w:rPr>
          <w:rFonts w:hint="eastAsia" w:ascii="宋体" w:hAnsi="宋体" w:eastAsia="宋体" w:cs="宋体"/>
          <w:sz w:val="28"/>
          <w:szCs w:val="28"/>
        </w:rPr>
        <w:t>17时30分之前缴纳至拍卖人指定的银行账户，并注明交易项目名称。支付的竞买保证金需不属于房地产开</w:t>
      </w:r>
      <w:r>
        <w:rPr>
          <w:rFonts w:hint="eastAsia" w:ascii="宋体" w:hAnsi="宋体" w:eastAsia="宋体" w:cs="宋体"/>
          <w:color w:val="0C0C0C"/>
          <w:sz w:val="28"/>
          <w:szCs w:val="28"/>
        </w:rPr>
        <w:t>发贷款、银行理财、募集、发行</w:t>
      </w:r>
      <w:r>
        <w:rPr>
          <w:rFonts w:hint="eastAsia"/>
          <w:color w:val="0C0C0C"/>
          <w:sz w:val="28"/>
          <w:szCs w:val="28"/>
        </w:rPr>
        <w:t>债券、信托计划、资产管理计划等融资资金，涉及购地的全部资金均为本单位合规自有资金</w:t>
      </w:r>
      <w:r>
        <w:rPr>
          <w:rFonts w:hint="eastAsia"/>
          <w:sz w:val="28"/>
          <w:szCs w:val="28"/>
        </w:rPr>
        <w:t>。</w:t>
      </w:r>
    </w:p>
    <w:p w14:paraId="186A2862">
      <w:pPr>
        <w:numPr>
          <w:ilvl w:val="0"/>
          <w:numId w:val="0"/>
        </w:numPr>
        <w:spacing w:line="400" w:lineRule="exact"/>
        <w:ind w:left="-140" w:leftChars="0" w:firstLine="560" w:firstLineChars="0"/>
        <w:rPr>
          <w:rFonts w:hint="eastAsia"/>
          <w:color w:val="0C0C0C"/>
          <w:sz w:val="28"/>
          <w:szCs w:val="28"/>
        </w:rPr>
      </w:pPr>
      <w:r>
        <w:rPr>
          <w:rFonts w:hint="eastAsia" w:ascii="Times New Roman" w:hAnsi="Times New Roman" w:eastAsia="宋体" w:cs="Times New Roman"/>
          <w:color w:val="0C0C0C"/>
          <w:kern w:val="2"/>
          <w:sz w:val="28"/>
          <w:szCs w:val="28"/>
          <w:lang w:val="en-US" w:eastAsia="zh-CN" w:bidi="ar-SA"/>
        </w:rPr>
        <w:t>1、</w:t>
      </w:r>
      <w:r>
        <w:rPr>
          <w:rFonts w:hint="eastAsia"/>
          <w:color w:val="0C0C0C"/>
          <w:sz w:val="28"/>
          <w:szCs w:val="28"/>
        </w:rPr>
        <w:t>开户行：中国建设银行股份有限公司莆田荔城支行，开户单位：莆田市自然资源局，账号：35050163620709333999；</w:t>
      </w:r>
      <w:r>
        <w:rPr>
          <w:rFonts w:hint="eastAsia"/>
          <w:color w:val="0C0C0C"/>
          <w:sz w:val="28"/>
          <w:szCs w:val="28"/>
          <w:lang w:val="en-US" w:eastAsia="zh-CN"/>
        </w:rPr>
        <w:t>2</w:t>
      </w:r>
      <w:r>
        <w:rPr>
          <w:rFonts w:hint="eastAsia"/>
          <w:color w:val="0C0C0C"/>
          <w:sz w:val="28"/>
          <w:szCs w:val="28"/>
        </w:rPr>
        <w:t>、开户行：兴业银行莆田城厢支行，开户单位：莆田市自然资源局，账号：145050100100390000；</w:t>
      </w:r>
      <w:r>
        <w:rPr>
          <w:rFonts w:hint="eastAsia"/>
          <w:color w:val="0C0C0C"/>
          <w:sz w:val="28"/>
          <w:szCs w:val="28"/>
          <w:lang w:val="en-US" w:eastAsia="zh-CN"/>
        </w:rPr>
        <w:t>3</w:t>
      </w:r>
      <w:r>
        <w:rPr>
          <w:rFonts w:hint="eastAsia"/>
          <w:color w:val="0C0C0C"/>
          <w:sz w:val="28"/>
          <w:szCs w:val="28"/>
        </w:rPr>
        <w:t>、开户行：福建莆田农村商业银行股份有限公司城厢支行，开户单位：莆田市自然资源局，账号：9040210010010000183096；</w:t>
      </w:r>
      <w:r>
        <w:rPr>
          <w:rFonts w:hint="eastAsia"/>
          <w:color w:val="0C0C0C"/>
          <w:sz w:val="28"/>
          <w:szCs w:val="28"/>
          <w:lang w:val="en-US" w:eastAsia="zh-CN"/>
        </w:rPr>
        <w:t>4</w:t>
      </w:r>
      <w:r>
        <w:rPr>
          <w:rFonts w:hint="eastAsia"/>
          <w:color w:val="0C0C0C"/>
          <w:sz w:val="28"/>
          <w:szCs w:val="28"/>
        </w:rPr>
        <w:t>、开户行：交通银行股份有限公司莆田分行，开户单位：莆田市自然资源局，账号：353003660013000231860；</w:t>
      </w:r>
      <w:r>
        <w:rPr>
          <w:rFonts w:hint="eastAsia"/>
          <w:color w:val="0C0C0C"/>
          <w:sz w:val="28"/>
          <w:szCs w:val="28"/>
          <w:lang w:val="en-US" w:eastAsia="zh-CN"/>
        </w:rPr>
        <w:t>5</w:t>
      </w:r>
      <w:r>
        <w:rPr>
          <w:rFonts w:hint="eastAsia"/>
          <w:color w:val="0C0C0C"/>
          <w:sz w:val="28"/>
          <w:szCs w:val="28"/>
        </w:rPr>
        <w:t>、开户行：中国工商银行股份有限公司莆田城厢支行，开户单位：莆田市自然资源局，账号：1405010129219999961；</w:t>
      </w:r>
      <w:r>
        <w:rPr>
          <w:rFonts w:hint="eastAsia"/>
          <w:color w:val="0C0C0C"/>
          <w:sz w:val="28"/>
          <w:szCs w:val="28"/>
          <w:lang w:val="en-US" w:eastAsia="zh-CN"/>
        </w:rPr>
        <w:t>6</w:t>
      </w:r>
      <w:r>
        <w:rPr>
          <w:rFonts w:hint="eastAsia"/>
          <w:color w:val="0C0C0C"/>
          <w:sz w:val="28"/>
          <w:szCs w:val="28"/>
        </w:rPr>
        <w:t>、开户行：中国银行股份有限公司莆田分行,开户单位：莆田市自然资源局，账号：420888124226；</w:t>
      </w:r>
      <w:r>
        <w:rPr>
          <w:rFonts w:hint="eastAsia"/>
          <w:color w:val="0C0C0C"/>
          <w:sz w:val="28"/>
          <w:szCs w:val="28"/>
          <w:lang w:val="en-US" w:eastAsia="zh-CN"/>
        </w:rPr>
        <w:t>7</w:t>
      </w:r>
      <w:r>
        <w:rPr>
          <w:rFonts w:hint="eastAsia"/>
          <w:color w:val="0C0C0C"/>
          <w:sz w:val="28"/>
          <w:szCs w:val="28"/>
        </w:rPr>
        <w:t>、开户行：中国农业银行股份有限公司莆田市府分理处，开户单位：莆田市自然资源局，账号：13441501040004271</w:t>
      </w:r>
      <w:r>
        <w:rPr>
          <w:rFonts w:hint="eastAsia"/>
          <w:color w:val="0C0C0C"/>
          <w:sz w:val="28"/>
          <w:szCs w:val="28"/>
          <w:lang w:eastAsia="zh-CN"/>
        </w:rPr>
        <w:t>；</w:t>
      </w:r>
      <w:r>
        <w:rPr>
          <w:rFonts w:hint="eastAsia"/>
          <w:color w:val="0C0C0C"/>
          <w:sz w:val="28"/>
          <w:szCs w:val="28"/>
          <w:lang w:val="en-US" w:eastAsia="zh-CN"/>
        </w:rPr>
        <w:t>8、</w:t>
      </w:r>
      <w:r>
        <w:rPr>
          <w:rFonts w:hint="eastAsia"/>
          <w:color w:val="0C0C0C"/>
          <w:sz w:val="28"/>
          <w:szCs w:val="28"/>
        </w:rPr>
        <w:t>开户行：中国邮政储蓄银行股份有限公司莆田市城厢区支行，开户单位：莆田市自然资源局，账号：935006010010706888</w:t>
      </w:r>
      <w:r>
        <w:rPr>
          <w:rFonts w:hint="eastAsia"/>
          <w:color w:val="0C0C0C"/>
          <w:sz w:val="28"/>
          <w:szCs w:val="28"/>
          <w:lang w:eastAsia="zh-CN"/>
        </w:rPr>
        <w:t>。</w:t>
      </w:r>
    </w:p>
    <w:p w14:paraId="7314A920">
      <w:pPr>
        <w:numPr>
          <w:ilvl w:val="0"/>
          <w:numId w:val="0"/>
        </w:numPr>
        <w:spacing w:line="400" w:lineRule="exact"/>
        <w:ind w:left="-140" w:leftChars="0" w:firstLine="560" w:firstLineChars="0"/>
        <w:rPr>
          <w:color w:val="0C0C0C"/>
          <w:sz w:val="28"/>
          <w:szCs w:val="28"/>
        </w:rPr>
      </w:pPr>
      <w:r>
        <w:rPr>
          <w:rFonts w:hint="eastAsia"/>
          <w:color w:val="0C0C0C"/>
          <w:sz w:val="28"/>
          <w:szCs w:val="28"/>
        </w:rPr>
        <w:t>竞买保证金以上述银行实际</w:t>
      </w:r>
      <w:r>
        <w:rPr>
          <w:rFonts w:hint="eastAsia"/>
          <w:color w:val="0C0C0C"/>
          <w:sz w:val="28"/>
          <w:szCs w:val="28"/>
          <w:lang w:val="en-US" w:eastAsia="zh-CN"/>
        </w:rPr>
        <w:t>到账</w:t>
      </w:r>
      <w:r>
        <w:rPr>
          <w:rFonts w:hint="eastAsia"/>
          <w:color w:val="0C0C0C"/>
          <w:sz w:val="28"/>
          <w:szCs w:val="28"/>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C0E32D0">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3E49B9A9">
      <w:pPr>
        <w:spacing w:line="400" w:lineRule="exact"/>
        <w:ind w:firstLine="557" w:firstLineChars="199"/>
        <w:rPr>
          <w:rFonts w:hint="default" w:ascii="宋体" w:hAnsi="宋体" w:eastAsia="宋体" w:cs="Times New Roman"/>
          <w:sz w:val="28"/>
          <w:szCs w:val="28"/>
          <w:lang w:val="en-US" w:eastAsia="zh-CN"/>
        </w:rPr>
      </w:pPr>
      <w:r>
        <w:rPr>
          <w:rFonts w:hint="default" w:ascii="宋体" w:hAnsi="宋体" w:eastAsia="宋体" w:cs="Times New Roman"/>
          <w:sz w:val="28"/>
          <w:szCs w:val="28"/>
          <w:lang w:val="en-US" w:eastAsia="zh-CN"/>
        </w:rPr>
        <w:t>该宗地土地出让金缴纳时间为第一期自《国有建设用地使用权出让合同》签订之日起一个月内缴纳土地出让金价款50%，第二期自《国有建设用地使用权出让合同》签订之日起两个月内再缴纳土地出让金价款50%。</w:t>
      </w:r>
      <w:bookmarkStart w:id="0" w:name="_GoBack"/>
      <w:bookmarkEnd w:id="0"/>
    </w:p>
    <w:p w14:paraId="2893840D">
      <w:pPr>
        <w:spacing w:line="400" w:lineRule="exact"/>
        <w:ind w:firstLine="557" w:firstLineChars="199"/>
        <w:rPr>
          <w:rFonts w:ascii="宋体" w:hAnsi="宋体"/>
          <w:sz w:val="28"/>
          <w:szCs w:val="28"/>
        </w:rPr>
      </w:pPr>
      <w:r>
        <w:rPr>
          <w:rFonts w:hint="eastAsia" w:ascii="宋体" w:hAnsi="宋体"/>
          <w:sz w:val="28"/>
          <w:szCs w:val="28"/>
        </w:rPr>
        <w:t>六、购买材料时间</w:t>
      </w:r>
    </w:p>
    <w:p w14:paraId="49BE8174">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6</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27</w:t>
      </w:r>
      <w:r>
        <w:rPr>
          <w:rFonts w:hint="eastAsia" w:ascii="宋体" w:hAnsi="宋体"/>
          <w:color w:val="auto"/>
          <w:sz w:val="28"/>
          <w:szCs w:val="28"/>
          <w:lang w:eastAsia="zh-CN"/>
        </w:rPr>
        <w:t>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29AB883C">
      <w:pPr>
        <w:numPr>
          <w:ilvl w:val="0"/>
          <w:numId w:val="1"/>
        </w:numPr>
        <w:spacing w:line="400" w:lineRule="exact"/>
        <w:ind w:firstLine="557" w:firstLineChars="199"/>
        <w:rPr>
          <w:rFonts w:hint="eastAsia" w:ascii="宋体" w:hAnsi="宋体"/>
          <w:color w:val="0C0C0C"/>
          <w:sz w:val="28"/>
          <w:szCs w:val="28"/>
        </w:rPr>
      </w:pPr>
      <w:r>
        <w:rPr>
          <w:rFonts w:hint="eastAsia" w:ascii="宋体" w:hAnsi="宋体"/>
          <w:color w:val="auto"/>
          <w:sz w:val="28"/>
          <w:szCs w:val="28"/>
        </w:rPr>
        <w:t>看样时间</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6</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27</w:t>
      </w:r>
      <w:r>
        <w:rPr>
          <w:rFonts w:hint="eastAsia" w:ascii="宋体" w:hAnsi="宋体"/>
          <w:color w:val="auto"/>
          <w:sz w:val="28"/>
          <w:szCs w:val="28"/>
          <w:lang w:eastAsia="zh-CN"/>
        </w:rPr>
        <w:t>日</w:t>
      </w:r>
      <w:r>
        <w:rPr>
          <w:rFonts w:hint="eastAsia" w:ascii="宋体" w:hAnsi="宋体"/>
          <w:color w:val="auto"/>
          <w:sz w:val="28"/>
          <w:szCs w:val="28"/>
        </w:rPr>
        <w:t>，</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厦门国际商品拍卖有限公司</w:t>
      </w:r>
      <w:r>
        <w:rPr>
          <w:rFonts w:hint="eastAsia" w:ascii="宋体" w:hAnsi="宋体"/>
          <w:color w:val="0C0C0C"/>
          <w:sz w:val="28"/>
          <w:szCs w:val="28"/>
        </w:rPr>
        <w:t>联系。</w:t>
      </w:r>
    </w:p>
    <w:p w14:paraId="227A70EF">
      <w:pPr>
        <w:numPr>
          <w:ilvl w:val="0"/>
          <w:numId w:val="1"/>
        </w:numPr>
        <w:spacing w:line="400" w:lineRule="exact"/>
        <w:ind w:left="0" w:leftChars="0" w:firstLine="557" w:firstLineChars="199"/>
        <w:rPr>
          <w:rFonts w:hint="eastAsia" w:ascii="宋体" w:hAnsi="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lang w:eastAsia="zh-CN"/>
          <w14:textFill>
            <w14:solidFill>
              <w14:schemeClr w14:val="tx1"/>
            </w14:solidFill>
          </w14:textFill>
        </w:rPr>
        <w:t>特别提示</w:t>
      </w:r>
    </w:p>
    <w:p w14:paraId="7E2284D8">
      <w:pPr>
        <w:numPr>
          <w:ilvl w:val="0"/>
          <w:numId w:val="0"/>
        </w:numPr>
        <w:spacing w:line="400" w:lineRule="exact"/>
        <w:ind w:firstLine="560" w:firstLineChars="200"/>
        <w:rPr>
          <w:rFonts w:hint="eastAsia" w:ascii="宋体" w:hAnsi="宋体"/>
          <w:color w:val="auto"/>
          <w:sz w:val="28"/>
          <w:szCs w:val="28"/>
          <w:lang w:eastAsia="zh-CN"/>
        </w:rPr>
      </w:pPr>
      <w:r>
        <w:rPr>
          <w:rFonts w:hint="eastAsia" w:ascii="宋体" w:hAnsi="宋体"/>
          <w:color w:val="auto"/>
          <w:sz w:val="28"/>
          <w:szCs w:val="28"/>
          <w:lang w:eastAsia="zh-CN"/>
        </w:rPr>
        <w:t>竞得人在签订《国有建设用地使用权出让合同》的同时，</w:t>
      </w:r>
      <w:r>
        <w:rPr>
          <w:rFonts w:hint="eastAsia" w:ascii="宋体" w:hAnsi="宋体"/>
          <w:color w:val="auto"/>
          <w:sz w:val="28"/>
          <w:szCs w:val="28"/>
          <w:lang w:val="en-US" w:eastAsia="zh-CN"/>
        </w:rPr>
        <w:t>应与</w:t>
      </w:r>
      <w:r>
        <w:rPr>
          <w:rFonts w:hint="eastAsia" w:ascii="宋体" w:hAnsi="宋体"/>
          <w:color w:val="auto"/>
          <w:sz w:val="28"/>
          <w:szCs w:val="28"/>
          <w:lang w:eastAsia="zh-CN"/>
        </w:rPr>
        <w:t>莆田市荔城区北高镇人民政府签订《荔城区珠宝城西侧地块二无偿配建公共配套服务设施协议书》。</w:t>
      </w:r>
      <w:r>
        <w:rPr>
          <w:rFonts w:hint="eastAsia" w:ascii="宋体" w:hAnsi="宋体"/>
          <w:color w:val="auto"/>
          <w:sz w:val="28"/>
          <w:szCs w:val="28"/>
          <w:lang w:val="en-US" w:eastAsia="zh-CN"/>
        </w:rPr>
        <w:t>具体内容以《莆田市荔城区人民政府关于商请荔城区珠宝城西侧地块二无偿配建公共配套服务设施的函》(荔政函</w:t>
      </w:r>
      <w:r>
        <w:rPr>
          <w:rFonts w:hint="eastAsia" w:ascii="宋体" w:hAnsi="宋体"/>
          <w:color w:val="0C0C0C"/>
          <w:sz w:val="28"/>
          <w:szCs w:val="28"/>
        </w:rPr>
        <w:t>〔2025〕</w:t>
      </w:r>
      <w:r>
        <w:rPr>
          <w:rFonts w:hint="eastAsia" w:ascii="宋体" w:hAnsi="宋体"/>
          <w:color w:val="auto"/>
          <w:sz w:val="28"/>
          <w:szCs w:val="28"/>
          <w:lang w:val="en-US" w:eastAsia="zh-CN"/>
        </w:rPr>
        <w:t>381号)为准</w:t>
      </w:r>
      <w:r>
        <w:rPr>
          <w:rFonts w:hint="eastAsia" w:ascii="宋体" w:hAnsi="宋体"/>
          <w:color w:val="auto"/>
          <w:sz w:val="28"/>
          <w:szCs w:val="28"/>
          <w:lang w:eastAsia="zh-CN"/>
        </w:rPr>
        <w:t>，</w:t>
      </w:r>
      <w:r>
        <w:rPr>
          <w:rFonts w:hint="eastAsia" w:ascii="宋体" w:hAnsi="宋体"/>
          <w:color w:val="auto"/>
          <w:sz w:val="28"/>
          <w:szCs w:val="28"/>
          <w:lang w:val="en-US" w:eastAsia="zh-CN"/>
        </w:rPr>
        <w:t>详见</w:t>
      </w:r>
      <w:r>
        <w:rPr>
          <w:rFonts w:hint="eastAsia" w:ascii="宋体" w:hAnsi="宋体"/>
          <w:color w:val="auto"/>
          <w:sz w:val="28"/>
          <w:szCs w:val="28"/>
          <w:lang w:eastAsia="zh-CN"/>
        </w:rPr>
        <w:t>《荔城区珠宝城西侧地块二无偿配建公共配套服务设施协议书》。</w:t>
      </w:r>
    </w:p>
    <w:p w14:paraId="076DF3C6">
      <w:pPr>
        <w:numPr>
          <w:ilvl w:val="0"/>
          <w:numId w:val="0"/>
        </w:numPr>
        <w:spacing w:line="400" w:lineRule="exact"/>
        <w:ind w:firstLine="557" w:firstLineChars="199"/>
        <w:rPr>
          <w:rFonts w:hint="eastAsia" w:ascii="宋体" w:hAnsi="宋体"/>
          <w:color w:val="0C0C0C"/>
          <w:sz w:val="28"/>
          <w:szCs w:val="28"/>
        </w:rPr>
      </w:pPr>
      <w:r>
        <w:rPr>
          <w:rFonts w:hint="eastAsia" w:ascii="宋体" w:hAnsi="宋体" w:cs="Times New Roman"/>
          <w:color w:val="0C0C0C"/>
          <w:kern w:val="2"/>
          <w:sz w:val="28"/>
          <w:szCs w:val="28"/>
          <w:lang w:val="en-US" w:eastAsia="zh-CN" w:bidi="ar-SA"/>
        </w:rPr>
        <w:t>九</w:t>
      </w:r>
      <w:r>
        <w:rPr>
          <w:rFonts w:hint="eastAsia" w:ascii="宋体" w:hAnsi="宋体" w:eastAsia="宋体" w:cs="Times New Roman"/>
          <w:color w:val="0C0C0C"/>
          <w:kern w:val="2"/>
          <w:sz w:val="28"/>
          <w:szCs w:val="28"/>
          <w:lang w:val="en-US" w:eastAsia="zh-CN" w:bidi="ar-SA"/>
        </w:rPr>
        <w:t>、</w:t>
      </w:r>
      <w:r>
        <w:rPr>
          <w:rFonts w:hint="eastAsia" w:ascii="宋体" w:hAnsi="宋体"/>
          <w:color w:val="0C0C0C"/>
          <w:sz w:val="28"/>
          <w:szCs w:val="28"/>
        </w:rPr>
        <w:t>本局对本《公告》有最终解释权。</w:t>
      </w:r>
    </w:p>
    <w:p w14:paraId="68440B45">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651A5B65">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val="en-US" w:eastAsia="zh-CN"/>
        </w:rPr>
        <w:t>13959562008</w:t>
      </w:r>
      <w:r>
        <w:rPr>
          <w:rFonts w:hint="eastAsia" w:ascii="宋体" w:hAnsi="宋体"/>
          <w:color w:val="0C0C0C"/>
          <w:sz w:val="28"/>
          <w:szCs w:val="28"/>
        </w:rPr>
        <w:t>　　　</w:t>
      </w:r>
      <w:r>
        <w:rPr>
          <w:rFonts w:hint="eastAsia" w:ascii="宋体" w:hAnsi="宋体"/>
          <w:color w:val="0C0C0C"/>
          <w:sz w:val="24"/>
        </w:rPr>
        <w:t>　　　　　　　　　　　　　　　　　　　　　　　　　　　　　</w:t>
      </w:r>
    </w:p>
    <w:p w14:paraId="14C5C631">
      <w:pPr>
        <w:spacing w:line="400" w:lineRule="exact"/>
        <w:ind w:right="420"/>
        <w:jc w:val="right"/>
        <w:rPr>
          <w:rFonts w:ascii="宋体" w:hAnsi="宋体"/>
          <w:color w:val="0C0C0C"/>
          <w:sz w:val="24"/>
        </w:rPr>
      </w:pPr>
      <w:r>
        <w:rPr>
          <w:rFonts w:hint="eastAsia"/>
          <w:sz w:val="28"/>
          <w:szCs w:val="36"/>
        </w:rPr>
        <w:t>莆田市自然资源局</w:t>
      </w:r>
    </w:p>
    <w:p w14:paraId="76F20D3D">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六</w:t>
      </w:r>
      <w:r>
        <w:rPr>
          <w:rFonts w:hint="eastAsia" w:ascii="宋体" w:hAnsi="宋体"/>
          <w:color w:val="auto"/>
          <w:sz w:val="28"/>
          <w:szCs w:val="28"/>
          <w:lang w:eastAsia="zh-CN"/>
        </w:rPr>
        <w:t>年</w:t>
      </w:r>
      <w:r>
        <w:rPr>
          <w:rFonts w:hint="eastAsia" w:ascii="宋体" w:hAnsi="宋体"/>
          <w:color w:val="auto"/>
          <w:sz w:val="28"/>
          <w:szCs w:val="28"/>
          <w:lang w:val="en-US" w:eastAsia="zh-CN"/>
        </w:rPr>
        <w:t>一</w:t>
      </w:r>
      <w:r>
        <w:rPr>
          <w:rFonts w:hint="eastAsia" w:ascii="宋体" w:hAnsi="宋体"/>
          <w:color w:val="auto"/>
          <w:sz w:val="28"/>
          <w:szCs w:val="28"/>
          <w:lang w:eastAsia="zh-CN"/>
        </w:rPr>
        <w:t>月</w:t>
      </w:r>
      <w:r>
        <w:rPr>
          <w:rFonts w:hint="eastAsia" w:ascii="宋体" w:hAnsi="宋体"/>
          <w:color w:val="auto"/>
          <w:sz w:val="28"/>
          <w:szCs w:val="28"/>
          <w:lang w:val="en-US" w:eastAsia="zh-CN"/>
        </w:rPr>
        <w:t>六</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877108"/>
    <w:multiLevelType w:val="singleLevel"/>
    <w:tmpl w:val="3887710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lNzE0OTRkMjBhOTM4MjlkYTg5ZjdjM2JhNGY3OGIifQ=="/>
  </w:docVars>
  <w:rsids>
    <w:rsidRoot w:val="00691E8D"/>
    <w:rsid w:val="002B72AC"/>
    <w:rsid w:val="005D4DA3"/>
    <w:rsid w:val="00691E8D"/>
    <w:rsid w:val="00955C2A"/>
    <w:rsid w:val="00A01E51"/>
    <w:rsid w:val="00A448B6"/>
    <w:rsid w:val="00BE2BB6"/>
    <w:rsid w:val="00D01DB0"/>
    <w:rsid w:val="00F53E06"/>
    <w:rsid w:val="00FF553C"/>
    <w:rsid w:val="01DB1107"/>
    <w:rsid w:val="01DD53B8"/>
    <w:rsid w:val="02BC1D16"/>
    <w:rsid w:val="03171459"/>
    <w:rsid w:val="094A41D5"/>
    <w:rsid w:val="09730F4E"/>
    <w:rsid w:val="0A7E77B7"/>
    <w:rsid w:val="0B1E0C43"/>
    <w:rsid w:val="0B755D69"/>
    <w:rsid w:val="0CDA021E"/>
    <w:rsid w:val="0D020BCA"/>
    <w:rsid w:val="0D07573C"/>
    <w:rsid w:val="0D9E4CFD"/>
    <w:rsid w:val="0F1A5A12"/>
    <w:rsid w:val="0F87169C"/>
    <w:rsid w:val="0FD15B41"/>
    <w:rsid w:val="104C36C7"/>
    <w:rsid w:val="10C73C9D"/>
    <w:rsid w:val="1116438B"/>
    <w:rsid w:val="117C6075"/>
    <w:rsid w:val="126F08F1"/>
    <w:rsid w:val="13523013"/>
    <w:rsid w:val="14453B25"/>
    <w:rsid w:val="15E44755"/>
    <w:rsid w:val="18167EB8"/>
    <w:rsid w:val="185F31B6"/>
    <w:rsid w:val="1AB87966"/>
    <w:rsid w:val="1B0548F1"/>
    <w:rsid w:val="1B465448"/>
    <w:rsid w:val="1B4D4296"/>
    <w:rsid w:val="1D1D719C"/>
    <w:rsid w:val="1D7E7D55"/>
    <w:rsid w:val="1F8A392E"/>
    <w:rsid w:val="20996CC7"/>
    <w:rsid w:val="21543FD0"/>
    <w:rsid w:val="23A645AD"/>
    <w:rsid w:val="24130D74"/>
    <w:rsid w:val="256615C3"/>
    <w:rsid w:val="27620FDB"/>
    <w:rsid w:val="27E50A1F"/>
    <w:rsid w:val="280D1AC4"/>
    <w:rsid w:val="2BBC667F"/>
    <w:rsid w:val="2CAC3837"/>
    <w:rsid w:val="2EB02DC6"/>
    <w:rsid w:val="2F2619C9"/>
    <w:rsid w:val="31E94753"/>
    <w:rsid w:val="33255BAA"/>
    <w:rsid w:val="333A7F06"/>
    <w:rsid w:val="33877A69"/>
    <w:rsid w:val="34E71F99"/>
    <w:rsid w:val="352960C0"/>
    <w:rsid w:val="38D44DA9"/>
    <w:rsid w:val="39644635"/>
    <w:rsid w:val="39ED17B8"/>
    <w:rsid w:val="3C797AF3"/>
    <w:rsid w:val="3D8F6245"/>
    <w:rsid w:val="3EBE3AD4"/>
    <w:rsid w:val="3EF61C51"/>
    <w:rsid w:val="3F506889"/>
    <w:rsid w:val="42101488"/>
    <w:rsid w:val="429F79F7"/>
    <w:rsid w:val="43CC5C4C"/>
    <w:rsid w:val="43F574B6"/>
    <w:rsid w:val="441F1E1D"/>
    <w:rsid w:val="4528027B"/>
    <w:rsid w:val="46410991"/>
    <w:rsid w:val="46D70343"/>
    <w:rsid w:val="48E1539E"/>
    <w:rsid w:val="49493DF9"/>
    <w:rsid w:val="49EB2179"/>
    <w:rsid w:val="4C105B70"/>
    <w:rsid w:val="4E393512"/>
    <w:rsid w:val="4F2F76FF"/>
    <w:rsid w:val="50CD727E"/>
    <w:rsid w:val="512D4000"/>
    <w:rsid w:val="516857CC"/>
    <w:rsid w:val="51F470A3"/>
    <w:rsid w:val="52FE057D"/>
    <w:rsid w:val="534D147B"/>
    <w:rsid w:val="53AD7D9F"/>
    <w:rsid w:val="53D957B6"/>
    <w:rsid w:val="556465AC"/>
    <w:rsid w:val="573972B3"/>
    <w:rsid w:val="59016B84"/>
    <w:rsid w:val="595448FE"/>
    <w:rsid w:val="5A202D73"/>
    <w:rsid w:val="5C8A1451"/>
    <w:rsid w:val="5D8F5945"/>
    <w:rsid w:val="5E090ACF"/>
    <w:rsid w:val="5FD00114"/>
    <w:rsid w:val="60226E01"/>
    <w:rsid w:val="62222B67"/>
    <w:rsid w:val="62981E4E"/>
    <w:rsid w:val="65BE1959"/>
    <w:rsid w:val="65F83D27"/>
    <w:rsid w:val="66B77E7A"/>
    <w:rsid w:val="674711E0"/>
    <w:rsid w:val="6A2A19F2"/>
    <w:rsid w:val="6A492D4C"/>
    <w:rsid w:val="6ACD6766"/>
    <w:rsid w:val="6DBA1612"/>
    <w:rsid w:val="706A7177"/>
    <w:rsid w:val="70B103B6"/>
    <w:rsid w:val="71A30540"/>
    <w:rsid w:val="723A4803"/>
    <w:rsid w:val="72F30665"/>
    <w:rsid w:val="731C7AAD"/>
    <w:rsid w:val="73BA2672"/>
    <w:rsid w:val="73EE4E5E"/>
    <w:rsid w:val="7758510A"/>
    <w:rsid w:val="77F3690A"/>
    <w:rsid w:val="789E0495"/>
    <w:rsid w:val="78BC6BA9"/>
    <w:rsid w:val="7A0A4F66"/>
    <w:rsid w:val="7A2D1EA0"/>
    <w:rsid w:val="7BBF5950"/>
    <w:rsid w:val="7DDC7906"/>
    <w:rsid w:val="7ECE71AA"/>
    <w:rsid w:val="7FB14CD8"/>
    <w:rsid w:val="7FDF3E5B"/>
    <w:rsid w:val="7FEB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Date"/>
    <w:basedOn w:val="1"/>
    <w:next w:val="1"/>
    <w:link w:val="18"/>
    <w:unhideWhenUsed/>
    <w:qFormat/>
    <w:uiPriority w:val="99"/>
    <w:pPr>
      <w:ind w:left="100" w:leftChars="2500"/>
    </w:pPr>
  </w:style>
  <w:style w:type="paragraph" w:styleId="3">
    <w:name w:val="Balloon Text"/>
    <w:basedOn w:val="1"/>
    <w:link w:val="17"/>
    <w:unhideWhenUsed/>
    <w:qFormat/>
    <w:uiPriority w:val="99"/>
    <w:rPr>
      <w:sz w:val="18"/>
      <w:szCs w:val="18"/>
    </w:rPr>
  </w:style>
  <w:style w:type="character" w:styleId="6">
    <w:name w:val="FollowedHyperlink"/>
    <w:basedOn w:val="5"/>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unhideWhenUsed/>
    <w:qFormat/>
    <w:uiPriority w:val="99"/>
  </w:style>
  <w:style w:type="character" w:styleId="9">
    <w:name w:val="HTML Typewriter"/>
    <w:basedOn w:val="5"/>
    <w:unhideWhenUsed/>
    <w:qFormat/>
    <w:uiPriority w:val="99"/>
    <w:rPr>
      <w:rFonts w:hint="default" w:ascii="monospace" w:hAnsi="monospace" w:eastAsia="monospace" w:cs="monospace"/>
      <w:sz w:val="20"/>
    </w:rPr>
  </w:style>
  <w:style w:type="character" w:styleId="10">
    <w:name w:val="HTML Acronym"/>
    <w:basedOn w:val="5"/>
    <w:unhideWhenUsed/>
    <w:qFormat/>
    <w:uiPriority w:val="99"/>
  </w:style>
  <w:style w:type="character" w:styleId="11">
    <w:name w:val="HTML Variable"/>
    <w:basedOn w:val="5"/>
    <w:unhideWhenUsed/>
    <w:qFormat/>
    <w:uiPriority w:val="99"/>
  </w:style>
  <w:style w:type="character" w:styleId="12">
    <w:name w:val="Hyperlink"/>
    <w:basedOn w:val="5"/>
    <w:unhideWhenUsed/>
    <w:qFormat/>
    <w:uiPriority w:val="99"/>
    <w:rPr>
      <w:color w:val="0000FF"/>
      <w:u w:val="none"/>
    </w:rPr>
  </w:style>
  <w:style w:type="character" w:styleId="13">
    <w:name w:val="HTML Code"/>
    <w:basedOn w:val="5"/>
    <w:unhideWhenUsed/>
    <w:qFormat/>
    <w:uiPriority w:val="99"/>
    <w:rPr>
      <w:rFonts w:hint="default" w:ascii="monospace" w:hAnsi="monospace" w:eastAsia="monospace" w:cs="monospace"/>
      <w:sz w:val="20"/>
    </w:rPr>
  </w:style>
  <w:style w:type="character" w:styleId="14">
    <w:name w:val="HTML Cite"/>
    <w:basedOn w:val="5"/>
    <w:unhideWhenUsed/>
    <w:qFormat/>
    <w:uiPriority w:val="99"/>
  </w:style>
  <w:style w:type="character" w:styleId="15">
    <w:name w:val="HTML Keyboard"/>
    <w:basedOn w:val="5"/>
    <w:unhideWhenUsed/>
    <w:qFormat/>
    <w:uiPriority w:val="99"/>
    <w:rPr>
      <w:rFonts w:ascii="monospace" w:hAnsi="monospace" w:eastAsia="monospace" w:cs="monospace"/>
      <w:sz w:val="20"/>
    </w:rPr>
  </w:style>
  <w:style w:type="character" w:styleId="16">
    <w:name w:val="HTML Sample"/>
    <w:basedOn w:val="5"/>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1706</Words>
  <Characters>1974</Characters>
  <Lines>14</Lines>
  <Paragraphs>4</Paragraphs>
  <TotalTime>0</TotalTime>
  <ScaleCrop>false</ScaleCrop>
  <LinksUpToDate>false</LinksUpToDate>
  <CharactersWithSpaces>2058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G.G</cp:lastModifiedBy>
  <cp:lastPrinted>2025-09-30T05:45:00Z</cp:lastPrinted>
  <dcterms:modified xsi:type="dcterms:W3CDTF">2026-01-06T01:10:11Z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D39C9940BBA9472FAF821986E8945B33_12</vt:lpwstr>
  </property>
  <property fmtid="{D5CDD505-2E9C-101B-9397-08002B2CF9AE}" pid="4" name="KSOTemplateDocerSaveRecord">
    <vt:lpwstr>eyJoZGlkIjoiYmVlNzE0OTRkMjBhOTM4MjlkYTg5ZjdjM2JhNGY3OGIiLCJ1c2VySWQiOiIzMTQ0OTM4NDEifQ==</vt:lpwstr>
  </property>
</Properties>
</file>